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8CB56" w14:textId="6E1DC9E5" w:rsidR="00356F8D" w:rsidRPr="00B266B0" w:rsidRDefault="00356F8D" w:rsidP="00356F8D">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#121bis-e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6B31DE">
        <w:rPr>
          <w:bCs/>
          <w:noProof w:val="0"/>
          <w:sz w:val="24"/>
          <w:szCs w:val="24"/>
        </w:rPr>
        <w:t>3691</w:t>
      </w:r>
    </w:p>
    <w:p w14:paraId="11776FA6" w14:textId="57FD8752" w:rsidR="00A209D6" w:rsidRPr="00465587" w:rsidRDefault="00356F8D" w:rsidP="00356F8D">
      <w:pPr>
        <w:pStyle w:val="Header"/>
        <w:tabs>
          <w:tab w:val="right" w:pos="9639"/>
        </w:tabs>
        <w:rPr>
          <w:rFonts w:eastAsia="SimSun"/>
          <w:bCs/>
          <w:sz w:val="24"/>
          <w:szCs w:val="24"/>
          <w:lang w:eastAsia="zh-CN"/>
        </w:rPr>
      </w:pPr>
      <w:r>
        <w:rPr>
          <w:rFonts w:eastAsia="SimSun"/>
          <w:bCs/>
          <w:sz w:val="24"/>
          <w:szCs w:val="24"/>
          <w:lang w:eastAsia="zh-CN"/>
        </w:rPr>
        <w:t>Elbonia</w:t>
      </w:r>
      <w:r w:rsidRPr="001672AE">
        <w:rPr>
          <w:rFonts w:eastAsia="SimSun"/>
          <w:bCs/>
          <w:sz w:val="24"/>
          <w:szCs w:val="24"/>
          <w:lang w:eastAsia="zh-CN"/>
        </w:rPr>
        <w:t xml:space="preserve">, </w:t>
      </w:r>
      <w:r>
        <w:rPr>
          <w:rFonts w:eastAsia="SimSun"/>
          <w:bCs/>
          <w:sz w:val="24"/>
          <w:szCs w:val="24"/>
          <w:lang w:eastAsia="zh-CN"/>
        </w:rPr>
        <w:t>1</w:t>
      </w:r>
      <w:r w:rsidRPr="001672AE">
        <w:rPr>
          <w:rFonts w:eastAsia="SimSun"/>
          <w:bCs/>
          <w:sz w:val="24"/>
          <w:szCs w:val="24"/>
          <w:lang w:eastAsia="zh-CN"/>
        </w:rPr>
        <w:t>7</w:t>
      </w:r>
      <w:r>
        <w:rPr>
          <w:rFonts w:eastAsia="SimSun"/>
          <w:bCs/>
          <w:sz w:val="24"/>
          <w:szCs w:val="24"/>
          <w:lang w:eastAsia="zh-CN"/>
        </w:rPr>
        <w:t xml:space="preserve"> </w:t>
      </w:r>
      <w:r w:rsidRPr="001672AE">
        <w:rPr>
          <w:rFonts w:eastAsia="SimSun"/>
          <w:bCs/>
          <w:sz w:val="24"/>
          <w:szCs w:val="24"/>
          <w:lang w:eastAsia="zh-CN"/>
        </w:rPr>
        <w:t xml:space="preserve">– </w:t>
      </w:r>
      <w:r>
        <w:rPr>
          <w:rFonts w:eastAsia="SimSun"/>
          <w:bCs/>
          <w:sz w:val="24"/>
          <w:szCs w:val="24"/>
          <w:lang w:eastAsia="zh-CN"/>
        </w:rPr>
        <w:t>26</w:t>
      </w:r>
      <w:r w:rsidRPr="001672AE">
        <w:rPr>
          <w:rFonts w:eastAsia="SimSun"/>
          <w:bCs/>
          <w:sz w:val="24"/>
          <w:szCs w:val="24"/>
          <w:lang w:eastAsia="zh-CN"/>
        </w:rPr>
        <w:t xml:space="preserve"> </w:t>
      </w:r>
      <w:r>
        <w:rPr>
          <w:rFonts w:eastAsia="SimSun"/>
          <w:bCs/>
          <w:sz w:val="24"/>
          <w:szCs w:val="24"/>
          <w:lang w:eastAsia="zh-CN"/>
        </w:rPr>
        <w:t>April</w:t>
      </w:r>
      <w:r w:rsidRPr="001672AE">
        <w:rPr>
          <w:rFonts w:eastAsia="SimSun"/>
          <w:bCs/>
          <w:sz w:val="24"/>
          <w:szCs w:val="24"/>
          <w:lang w:eastAsia="zh-CN"/>
        </w:rPr>
        <w:t xml:space="preserve"> 202</w:t>
      </w:r>
      <w:r>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082A6E9"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85C36">
        <w:rPr>
          <w:rFonts w:cs="Arial"/>
          <w:b/>
          <w:bCs/>
          <w:sz w:val="24"/>
          <w:lang w:eastAsia="ja-JP"/>
        </w:rPr>
        <w:t>7</w:t>
      </w:r>
      <w:r w:rsidR="005B3540">
        <w:rPr>
          <w:rFonts w:cs="Arial"/>
          <w:b/>
          <w:bCs/>
          <w:sz w:val="24"/>
          <w:lang w:eastAsia="ja-JP"/>
        </w:rPr>
        <w:t>.2</w:t>
      </w:r>
      <w:r w:rsidR="00F85C36">
        <w:rPr>
          <w:rFonts w:cs="Arial"/>
          <w:b/>
          <w:bCs/>
          <w:sz w:val="24"/>
          <w:lang w:eastAsia="ja-JP"/>
        </w:rPr>
        <w:t>0</w:t>
      </w:r>
      <w:r w:rsidR="005B3540">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20E3707" w:rsidR="00446C3A" w:rsidRPr="005B3540" w:rsidRDefault="00446C3A" w:rsidP="00446C3A">
      <w:pPr>
        <w:ind w:left="1985" w:hanging="1985"/>
        <w:rPr>
          <w:rFonts w:ascii="Arial" w:hAnsi="Arial" w:cs="Arial"/>
          <w:b/>
          <w:bCs/>
          <w:sz w:val="24"/>
        </w:rPr>
      </w:pPr>
      <w:r w:rsidRPr="005B3540">
        <w:rPr>
          <w:rFonts w:ascii="Arial" w:hAnsi="Arial" w:cs="Arial"/>
          <w:b/>
          <w:bCs/>
          <w:sz w:val="24"/>
        </w:rPr>
        <w:t>Title:</w:t>
      </w:r>
      <w:r w:rsidRPr="005B3540">
        <w:rPr>
          <w:rFonts w:ascii="Arial" w:hAnsi="Arial" w:cs="Arial"/>
          <w:b/>
          <w:bCs/>
          <w:sz w:val="24"/>
        </w:rPr>
        <w:tab/>
      </w:r>
      <w:r w:rsidR="002A0C4C">
        <w:rPr>
          <w:rFonts w:ascii="Arial" w:hAnsi="Arial" w:cs="Arial"/>
          <w:b/>
          <w:bCs/>
          <w:sz w:val="24"/>
        </w:rPr>
        <w:t>RA procedure while SpCell is configured with 2 TAGs</w:t>
      </w:r>
    </w:p>
    <w:p w14:paraId="25F387E8" w14:textId="742A2420"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B3540" w:rsidRPr="005B3540">
        <w:rPr>
          <w:rFonts w:ascii="Arial" w:hAnsi="Arial" w:cs="Arial"/>
          <w:b/>
          <w:bCs/>
          <w:sz w:val="24"/>
        </w:rPr>
        <w:t>NR_MIMO_evo_DL_UL-Core</w:t>
      </w:r>
      <w:r w:rsidR="005B3540">
        <w:rPr>
          <w:rFonts w:ascii="Arial" w:hAnsi="Arial" w:cs="Arial"/>
          <w:b/>
          <w:bCs/>
          <w:sz w:val="24"/>
        </w:rPr>
        <w:t xml:space="preserve"> </w:t>
      </w:r>
      <w:r>
        <w:rPr>
          <w:rFonts w:ascii="Arial" w:hAnsi="Arial" w:cs="Arial"/>
          <w:b/>
          <w:bCs/>
          <w:sz w:val="24"/>
        </w:rPr>
        <w:t xml:space="preserve">- Release </w:t>
      </w:r>
      <w:r w:rsidR="005B3540">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D70ECDF" w14:textId="44D0E3F0" w:rsidR="00AD18A2" w:rsidRDefault="00ED7149" w:rsidP="00AD18A2">
      <w:r>
        <w:t>Work for NR MIMO evolution (</w:t>
      </w:r>
      <w:hyperlink r:id="rId13" w:history="1">
        <w:r w:rsidRPr="00ED7149">
          <w:rPr>
            <w:rStyle w:val="Hyperlink"/>
          </w:rPr>
          <w:t>RP-223276</w:t>
        </w:r>
      </w:hyperlink>
      <w:r>
        <w:t>) has been ongoing in RAN1 and</w:t>
      </w:r>
      <w:r w:rsidR="00AD18A2">
        <w:t xml:space="preserve"> they sent an LS to RAN2 in </w:t>
      </w:r>
      <w:r w:rsidR="00AD18A2" w:rsidRPr="000749C1">
        <w:t>R2-2300021</w:t>
      </w:r>
      <w:r w:rsidR="00AD18A2">
        <w:t>:</w:t>
      </w:r>
    </w:p>
    <w:tbl>
      <w:tblPr>
        <w:tblStyle w:val="TableGrid"/>
        <w:tblW w:w="0" w:type="auto"/>
        <w:tblLook w:val="04A0" w:firstRow="1" w:lastRow="0" w:firstColumn="1" w:lastColumn="0" w:noHBand="0" w:noVBand="1"/>
      </w:tblPr>
      <w:tblGrid>
        <w:gridCol w:w="9631"/>
      </w:tblGrid>
      <w:tr w:rsidR="00AD18A2" w14:paraId="1EAC87E6" w14:textId="77777777" w:rsidTr="000909D0">
        <w:tc>
          <w:tcPr>
            <w:tcW w:w="9631" w:type="dxa"/>
          </w:tcPr>
          <w:p w14:paraId="503C039F" w14:textId="77777777" w:rsidR="00AD18A2" w:rsidRPr="000749C1" w:rsidRDefault="00AD18A2" w:rsidP="000909D0">
            <w:pPr>
              <w:keepNext/>
              <w:keepLines/>
              <w:pBdr>
                <w:top w:val="single" w:sz="12" w:space="3" w:color="auto"/>
              </w:pBdr>
              <w:overflowPunct w:val="0"/>
              <w:autoSpaceDE w:val="0"/>
              <w:autoSpaceDN w:val="0"/>
              <w:adjustRightInd w:val="0"/>
              <w:spacing w:before="480"/>
              <w:ind w:left="1138" w:hanging="1138"/>
              <w:outlineLvl w:val="0"/>
              <w:rPr>
                <w:rFonts w:ascii="Arial" w:eastAsia="SimSun" w:hAnsi="Arial"/>
                <w:b/>
                <w:bCs/>
                <w:lang w:eastAsia="ja-JP"/>
              </w:rPr>
            </w:pPr>
            <w:r w:rsidRPr="000749C1">
              <w:rPr>
                <w:rFonts w:ascii="Arial" w:eastAsia="SimSun" w:hAnsi="Arial"/>
                <w:b/>
                <w:bCs/>
                <w:lang w:eastAsia="ja-JP"/>
              </w:rPr>
              <w:t>1.  Overall Description</w:t>
            </w:r>
          </w:p>
          <w:p w14:paraId="2963D815" w14:textId="77777777" w:rsidR="00AD18A2" w:rsidRPr="000749C1" w:rsidRDefault="00AD18A2" w:rsidP="000909D0">
            <w:pPr>
              <w:overflowPunct w:val="0"/>
              <w:autoSpaceDE w:val="0"/>
              <w:autoSpaceDN w:val="0"/>
              <w:adjustRightInd w:val="0"/>
              <w:spacing w:after="120"/>
              <w:jc w:val="both"/>
              <w:rPr>
                <w:rFonts w:ascii="Arial" w:eastAsia="SimSun" w:hAnsi="Arial" w:cs="Arial"/>
                <w:lang w:eastAsia="zh-CN"/>
              </w:rPr>
            </w:pPr>
            <w:r w:rsidRPr="000749C1">
              <w:rPr>
                <w:rFonts w:ascii="Arial" w:hAnsi="Arial" w:cs="Arial"/>
                <w:lang w:eastAsia="zh-CN"/>
              </w:rPr>
              <w:t xml:space="preserve">In Rel-18 discussions on MIMO Evolution for Downlink and Uplink, RAN1 has agreed to support multi-DCI multi-TRP operation with two TAs.  The following has been agreed/concluded in RAN1: </w:t>
            </w:r>
          </w:p>
          <w:p w14:paraId="766577FD" w14:textId="77777777" w:rsidR="00AD18A2" w:rsidRPr="000749C1" w:rsidRDefault="00AD18A2" w:rsidP="000909D0">
            <w:pPr>
              <w:overflowPunct w:val="0"/>
              <w:autoSpaceDE w:val="0"/>
              <w:autoSpaceDN w:val="0"/>
              <w:adjustRightInd w:val="0"/>
              <w:spacing w:after="120"/>
              <w:jc w:val="both"/>
              <w:rPr>
                <w:rFonts w:ascii="Arial" w:hAnsi="Arial" w:cs="Arial"/>
                <w:lang w:eastAsia="zh-CN"/>
              </w:rPr>
            </w:pPr>
          </w:p>
          <w:p w14:paraId="2DB9275D" w14:textId="77777777" w:rsidR="00AD18A2" w:rsidRPr="000749C1" w:rsidRDefault="00AD18A2" w:rsidP="000909D0">
            <w:pPr>
              <w:overflowPunct w:val="0"/>
              <w:autoSpaceDE w:val="0"/>
              <w:autoSpaceDN w:val="0"/>
              <w:adjustRightInd w:val="0"/>
              <w:spacing w:after="120"/>
              <w:jc w:val="both"/>
              <w:rPr>
                <w:rFonts w:eastAsia="SimSun"/>
                <w:b/>
                <w:bCs/>
                <w:highlight w:val="green"/>
                <w:lang w:eastAsia="ja-JP"/>
              </w:rPr>
            </w:pPr>
            <w:r w:rsidRPr="000749C1">
              <w:rPr>
                <w:rFonts w:eastAsia="SimSun"/>
                <w:b/>
                <w:bCs/>
                <w:highlight w:val="green"/>
                <w:lang w:eastAsia="ja-JP"/>
              </w:rPr>
              <w:t>Agreement</w:t>
            </w:r>
          </w:p>
          <w:p w14:paraId="3327D767" w14:textId="77777777" w:rsidR="00AD18A2" w:rsidRPr="000749C1" w:rsidRDefault="00AD18A2" w:rsidP="000909D0">
            <w:pPr>
              <w:overflowPunct w:val="0"/>
              <w:autoSpaceDE w:val="0"/>
              <w:autoSpaceDN w:val="0"/>
              <w:adjustRightInd w:val="0"/>
              <w:spacing w:after="120"/>
              <w:jc w:val="both"/>
              <w:rPr>
                <w:rFonts w:eastAsia="SimSun"/>
                <w:lang w:eastAsia="ja-JP"/>
              </w:rPr>
            </w:pPr>
            <w:r w:rsidRPr="000749C1">
              <w:rPr>
                <w:rFonts w:eastAsia="SimSun"/>
                <w:lang w:eastAsia="ja-JP"/>
              </w:rPr>
              <w:t>For multi-DCI based multi-TRP operation with two TAs, support configuring two TAGs belonging to a serving cell.</w:t>
            </w:r>
          </w:p>
          <w:p w14:paraId="1A7F623D" w14:textId="77777777" w:rsidR="00AD18A2" w:rsidRPr="000749C1" w:rsidRDefault="00AD18A2" w:rsidP="000909D0">
            <w:pPr>
              <w:overflowPunct w:val="0"/>
              <w:autoSpaceDE w:val="0"/>
              <w:autoSpaceDN w:val="0"/>
              <w:adjustRightInd w:val="0"/>
              <w:spacing w:after="120"/>
              <w:jc w:val="both"/>
              <w:rPr>
                <w:rFonts w:ascii="Arial" w:hAnsi="Arial" w:cs="Arial"/>
                <w:lang w:eastAsia="zh-CN"/>
              </w:rPr>
            </w:pPr>
          </w:p>
          <w:p w14:paraId="23E86D24" w14:textId="77777777" w:rsidR="00AD18A2" w:rsidRPr="000749C1" w:rsidRDefault="00AD18A2" w:rsidP="000909D0">
            <w:pPr>
              <w:overflowPunct w:val="0"/>
              <w:autoSpaceDE w:val="0"/>
              <w:autoSpaceDN w:val="0"/>
              <w:adjustRightInd w:val="0"/>
              <w:spacing w:after="120"/>
              <w:jc w:val="both"/>
              <w:rPr>
                <w:rFonts w:eastAsia="SimSun"/>
                <w:b/>
                <w:bCs/>
                <w:lang w:eastAsia="ja-JP"/>
              </w:rPr>
            </w:pPr>
            <w:r w:rsidRPr="000749C1">
              <w:rPr>
                <w:rFonts w:eastAsia="SimSun"/>
                <w:b/>
                <w:bCs/>
                <w:lang w:eastAsia="ja-JP"/>
              </w:rPr>
              <w:t>Conclusion</w:t>
            </w:r>
          </w:p>
          <w:p w14:paraId="26AFD3A6" w14:textId="77777777" w:rsidR="00AD18A2" w:rsidRPr="000749C1" w:rsidRDefault="00AD18A2" w:rsidP="000909D0">
            <w:pPr>
              <w:overflowPunct w:val="0"/>
              <w:autoSpaceDE w:val="0"/>
              <w:autoSpaceDN w:val="0"/>
              <w:adjustRightInd w:val="0"/>
              <w:spacing w:after="120"/>
              <w:jc w:val="both"/>
              <w:rPr>
                <w:rFonts w:eastAsia="SimSun"/>
                <w:lang w:eastAsia="ja-JP"/>
              </w:rPr>
            </w:pPr>
            <w:r w:rsidRPr="000749C1">
              <w:rPr>
                <w:rFonts w:eastAsia="SimSun"/>
                <w:lang w:eastAsia="ja-JP"/>
              </w:rPr>
              <w:t xml:space="preserve">For multi-DCI based </w:t>
            </w:r>
            <w:proofErr w:type="gramStart"/>
            <w:r w:rsidRPr="000749C1">
              <w:rPr>
                <w:rFonts w:eastAsia="SimSun"/>
                <w:lang w:eastAsia="ja-JP"/>
              </w:rPr>
              <w:t>Multi-TRP</w:t>
            </w:r>
            <w:proofErr w:type="gramEnd"/>
            <w:r w:rsidRPr="000749C1">
              <w:rPr>
                <w:rFonts w:eastAsia="SimSun"/>
                <w:lang w:eastAsia="ja-JP"/>
              </w:rPr>
              <w:t xml:space="preserve"> operation with two TA enhancement, it is up to RAN2 to decide whether there is a need to enhance CBRA procedure to support per TRP UE-initiated RACH procedure.</w:t>
            </w:r>
          </w:p>
          <w:p w14:paraId="42574B6A" w14:textId="77777777" w:rsidR="00AD18A2" w:rsidRPr="000749C1" w:rsidRDefault="00AD18A2" w:rsidP="000909D0">
            <w:pPr>
              <w:overflowPunct w:val="0"/>
              <w:autoSpaceDE w:val="0"/>
              <w:autoSpaceDN w:val="0"/>
              <w:adjustRightInd w:val="0"/>
              <w:spacing w:after="120"/>
              <w:jc w:val="both"/>
              <w:rPr>
                <w:rFonts w:ascii="Arial" w:hAnsi="Arial" w:cs="Arial"/>
                <w:b/>
                <w:bCs/>
                <w:lang w:eastAsia="zh-CN"/>
              </w:rPr>
            </w:pPr>
          </w:p>
          <w:p w14:paraId="29F4FF9F" w14:textId="77777777" w:rsidR="00AD18A2" w:rsidRPr="000749C1" w:rsidRDefault="00AD18A2" w:rsidP="000909D0">
            <w:pPr>
              <w:overflowPunct w:val="0"/>
              <w:autoSpaceDE w:val="0"/>
              <w:autoSpaceDN w:val="0"/>
              <w:adjustRightInd w:val="0"/>
              <w:spacing w:after="120"/>
              <w:jc w:val="both"/>
              <w:rPr>
                <w:rFonts w:ascii="Arial" w:hAnsi="Arial" w:cs="Arial"/>
                <w:b/>
                <w:bCs/>
                <w:lang w:eastAsia="zh-CN"/>
              </w:rPr>
            </w:pPr>
            <w:r w:rsidRPr="000749C1">
              <w:rPr>
                <w:rFonts w:ascii="Arial" w:hAnsi="Arial" w:cs="Arial"/>
                <w:b/>
                <w:bCs/>
                <w:lang w:eastAsia="zh-CN"/>
              </w:rPr>
              <w:t>2.  Actions</w:t>
            </w:r>
          </w:p>
          <w:p w14:paraId="36FF2FA2" w14:textId="77777777" w:rsidR="00AD18A2" w:rsidRPr="000749C1" w:rsidRDefault="00AD18A2" w:rsidP="000909D0">
            <w:pPr>
              <w:overflowPunct w:val="0"/>
              <w:autoSpaceDE w:val="0"/>
              <w:autoSpaceDN w:val="0"/>
              <w:adjustRightInd w:val="0"/>
              <w:spacing w:before="240" w:after="120"/>
              <w:ind w:left="1987" w:hanging="1987"/>
              <w:rPr>
                <w:rFonts w:ascii="Arial" w:eastAsia="SimSun" w:hAnsi="Arial" w:cs="Arial"/>
                <w:b/>
                <w:lang w:eastAsia="ja-JP"/>
              </w:rPr>
            </w:pPr>
            <w:r w:rsidRPr="000749C1">
              <w:rPr>
                <w:rFonts w:ascii="Arial" w:eastAsia="SimSun" w:hAnsi="Arial" w:cs="Arial"/>
                <w:b/>
                <w:lang w:eastAsia="ja-JP"/>
              </w:rPr>
              <w:t>To RAN WG2</w:t>
            </w:r>
          </w:p>
          <w:p w14:paraId="76D32E84" w14:textId="77777777" w:rsidR="00AD18A2" w:rsidRPr="000749C1" w:rsidRDefault="00AD18A2" w:rsidP="000909D0">
            <w:pPr>
              <w:overflowPunct w:val="0"/>
              <w:autoSpaceDE w:val="0"/>
              <w:autoSpaceDN w:val="0"/>
              <w:adjustRightInd w:val="0"/>
              <w:spacing w:afterLines="50" w:after="120"/>
              <w:rPr>
                <w:rFonts w:ascii="Arial" w:eastAsia="Yu Mincho" w:hAnsi="Arial"/>
                <w:lang w:eastAsia="ja-JP"/>
              </w:rPr>
            </w:pPr>
            <w:r w:rsidRPr="000749C1">
              <w:rPr>
                <w:rFonts w:ascii="Arial" w:eastAsia="Yu Mincho" w:hAnsi="Arial" w:cs="Arial"/>
                <w:b/>
                <w:bCs/>
                <w:lang w:eastAsia="ja-JP"/>
              </w:rPr>
              <w:t xml:space="preserve">ACTION: </w:t>
            </w:r>
            <w:r w:rsidRPr="000749C1">
              <w:rPr>
                <w:rFonts w:ascii="Arial" w:eastAsia="Yu Mincho" w:hAnsi="Arial"/>
                <w:lang w:eastAsia="ja-JP"/>
              </w:rPr>
              <w:t xml:space="preserve">RAN1 would like to kindly ask RAN2 to take the above agreements/conclusions into account in their future work related to two TAs for multi-DCI multi-TRP </w:t>
            </w:r>
            <w:proofErr w:type="gramStart"/>
            <w:r w:rsidRPr="000749C1">
              <w:rPr>
                <w:rFonts w:ascii="Arial" w:eastAsia="Yu Mincho" w:hAnsi="Arial"/>
                <w:lang w:eastAsia="ja-JP"/>
              </w:rPr>
              <w:t>operation, and</w:t>
            </w:r>
            <w:proofErr w:type="gramEnd"/>
            <w:r w:rsidRPr="000749C1">
              <w:rPr>
                <w:rFonts w:ascii="Arial" w:eastAsia="Yu Mincho" w:hAnsi="Arial"/>
                <w:lang w:eastAsia="ja-JP"/>
              </w:rPr>
              <w:t xml:space="preserve"> notify RAN1 of any RAN2 decisions on per TRP UE-initiated RACH procedure that require RAN1 involvement.</w:t>
            </w:r>
          </w:p>
        </w:tc>
      </w:tr>
    </w:tbl>
    <w:p w14:paraId="5BE64577" w14:textId="77777777" w:rsidR="00AD18A2" w:rsidRDefault="00AD18A2" w:rsidP="00AD18A2"/>
    <w:p w14:paraId="5BFA49AA" w14:textId="24956A1A" w:rsidR="000749C1" w:rsidRDefault="00043B44" w:rsidP="009339CB">
      <w:r>
        <w:t xml:space="preserve">In this TDoc, </w:t>
      </w:r>
      <w:r w:rsidR="00AD18A2">
        <w:t>RAN2 issues wrt. CBRA are discussed when SpCell is configured with multiple TAGs</w:t>
      </w:r>
      <w:r w:rsidR="0041464E">
        <w:t>.</w:t>
      </w:r>
    </w:p>
    <w:p w14:paraId="7D484B6E" w14:textId="479FD120" w:rsidR="009339CB" w:rsidRPr="006E13D1" w:rsidRDefault="009339CB" w:rsidP="009339CB">
      <w:pPr>
        <w:pStyle w:val="Heading1"/>
      </w:pPr>
      <w:r w:rsidRPr="006E13D1">
        <w:t>2</w:t>
      </w:r>
      <w:r w:rsidRPr="006E13D1">
        <w:tab/>
      </w:r>
      <w:r w:rsidR="000749C1">
        <w:t>Discussion</w:t>
      </w:r>
    </w:p>
    <w:p w14:paraId="2D012C3F" w14:textId="7F821477" w:rsidR="00A5297A" w:rsidRDefault="00AD18A2" w:rsidP="00632DCC">
      <w:r>
        <w:t xml:space="preserve">While it seems meaningless to introduce any new UE based RA triggering conditions specific for the two TAs enhancement, UE can trigger CBRA procedure for other reasons like for SR (no SR resources or SR failure), BFR, or consistent LBT failure detection. </w:t>
      </w:r>
      <w:r w:rsidR="00A41561">
        <w:t>Furthermore, while CBRA is triggered, there could be multiple situation that needs to be accounted with the new mTRP scenario: whether the TATs associated with the two TAGs are both running, only one TAT is running, or none of the TATs is running.</w:t>
      </w:r>
    </w:p>
    <w:p w14:paraId="3C581649" w14:textId="0F2F61CF" w:rsidR="00654648" w:rsidRPr="00654648" w:rsidRDefault="00654648" w:rsidP="00632DCC">
      <w:pPr>
        <w:rPr>
          <w:b/>
          <w:bCs/>
        </w:rPr>
      </w:pPr>
      <w:r>
        <w:rPr>
          <w:b/>
          <w:bCs/>
        </w:rPr>
        <w:t>Observation 1: CBRA can be triggered by various means while the SpCell is configured with two TAGs and the running statuses of the associated TATs may vary.</w:t>
      </w:r>
    </w:p>
    <w:p w14:paraId="440A9444" w14:textId="77777777" w:rsidR="00A5297A" w:rsidRDefault="00A5297A" w:rsidP="00632DCC"/>
    <w:p w14:paraId="34E7CE70" w14:textId="3EA34049" w:rsidR="00C80D9F" w:rsidRDefault="00654648" w:rsidP="00632DCC">
      <w:r>
        <w:lastRenderedPageBreak/>
        <w:t xml:space="preserve">Regardless of the running statuses of the TATs associated with the TAGs within a serving cell, </w:t>
      </w:r>
      <w:r w:rsidR="00AD18A2">
        <w:t xml:space="preserve">the UE may require information for which TAG the TAC received in the RAR or fallbackRAR applies to so that appropriate TA can be utilized for the Msg3 and subsequent UL transmissions in the RA procedure – this is because the UE </w:t>
      </w:r>
      <w:r>
        <w:t>transmits the Msg3 and subsequent UL transmissions in the RA procedure towards the TRP that is associated with the transmitted preamble (via preamble to SSB mapping)</w:t>
      </w:r>
      <w:r w:rsidR="00AD18A2">
        <w:t>.</w:t>
      </w:r>
      <w:r w:rsidR="00C15BF9">
        <w:t xml:space="preserve"> This naturally applies only for the intra-cell scenario where different SSBs apply to different TRPs while the inter-cell scenario is clear – UE would not perform CBRA towards the other TRP.</w:t>
      </w:r>
    </w:p>
    <w:p w14:paraId="6FCC15B8" w14:textId="0A0FC5F2" w:rsidR="00C15BF9" w:rsidRDefault="00C15BF9" w:rsidP="00632DCC">
      <w:pPr>
        <w:rPr>
          <w:b/>
          <w:bCs/>
        </w:rPr>
      </w:pPr>
      <w:r>
        <w:rPr>
          <w:b/>
          <w:bCs/>
        </w:rPr>
        <w:t>Observation 2: F</w:t>
      </w:r>
      <w:r w:rsidRPr="00C15BF9">
        <w:rPr>
          <w:b/>
          <w:bCs/>
        </w:rPr>
        <w:t>or the intra-cell scenario where different SSBs apply to different TRPs</w:t>
      </w:r>
      <w:r>
        <w:rPr>
          <w:b/>
          <w:bCs/>
        </w:rPr>
        <w:t>, the UE needs to be made aware which TAG the TAC in RAR/fallbackRAR applies to</w:t>
      </w:r>
      <w:r w:rsidRPr="00C15BF9">
        <w:rPr>
          <w:b/>
          <w:bCs/>
        </w:rPr>
        <w:t xml:space="preserve"> while </w:t>
      </w:r>
      <w:r>
        <w:rPr>
          <w:b/>
          <w:bCs/>
        </w:rPr>
        <w:t xml:space="preserve">for </w:t>
      </w:r>
      <w:r w:rsidRPr="00C15BF9">
        <w:rPr>
          <w:b/>
          <w:bCs/>
        </w:rPr>
        <w:t xml:space="preserve">the inter-cell scenario </w:t>
      </w:r>
      <w:r>
        <w:rPr>
          <w:b/>
          <w:bCs/>
        </w:rPr>
        <w:t xml:space="preserve">this </w:t>
      </w:r>
      <w:r w:rsidRPr="00C15BF9">
        <w:rPr>
          <w:b/>
          <w:bCs/>
        </w:rPr>
        <w:t xml:space="preserve">is </w:t>
      </w:r>
      <w:r>
        <w:rPr>
          <w:b/>
          <w:bCs/>
        </w:rPr>
        <w:t xml:space="preserve">not needed </w:t>
      </w:r>
      <w:r w:rsidRPr="00C15BF9">
        <w:rPr>
          <w:b/>
          <w:bCs/>
        </w:rPr>
        <w:t>– UE would not perform CBRA towards the other TRP</w:t>
      </w:r>
      <w:r>
        <w:rPr>
          <w:b/>
          <w:bCs/>
        </w:rPr>
        <w:t xml:space="preserve"> in inter-cell scenario.</w:t>
      </w:r>
    </w:p>
    <w:p w14:paraId="4CF7F982" w14:textId="17E60EA2" w:rsidR="00AD18A2" w:rsidRDefault="00AD18A2" w:rsidP="00632DCC">
      <w:pPr>
        <w:rPr>
          <w:b/>
          <w:bCs/>
        </w:rPr>
      </w:pPr>
      <w:r>
        <w:rPr>
          <w:b/>
          <w:bCs/>
        </w:rPr>
        <w:t xml:space="preserve">Proposal 1: </w:t>
      </w:r>
      <w:r w:rsidR="00A5297A">
        <w:rPr>
          <w:b/>
          <w:bCs/>
        </w:rPr>
        <w:t>When CBRA is performed, UE needs to be made aware to which TAG the TAC in RAR/fallbackRAR applies to transmit Msg3 (and subsequent UL) appropriately.</w:t>
      </w:r>
    </w:p>
    <w:p w14:paraId="47E24C3E" w14:textId="161CD80E" w:rsidR="00AD18A2" w:rsidRDefault="00654648" w:rsidP="00632DCC">
      <w:r>
        <w:t xml:space="preserve">On the other hand, when one of the TATs is not running while the CBRA is performed, </w:t>
      </w:r>
      <w:r w:rsidR="001F2CC5">
        <w:t>it should be discussed whether the UE should apply TAC and start the TAT associated with the TAG in case the RAR/fallbackRAR would indicate the TAG ID associated with the not running TAT. This would seem beneficial since it would follow the logic as applied currently in the RA procedure when TAT is not running for pTAG. While if the TAT associated with the TAG that is indicated by in the RAR/fallbackRAR is running, the UE can ignore the TAC (as in legacy).</w:t>
      </w:r>
    </w:p>
    <w:p w14:paraId="230D4C9A" w14:textId="3A8CCE1C" w:rsidR="001F2CC5" w:rsidRDefault="001F2CC5" w:rsidP="00632DCC">
      <w:pPr>
        <w:rPr>
          <w:b/>
          <w:bCs/>
        </w:rPr>
      </w:pPr>
      <w:r>
        <w:rPr>
          <w:b/>
          <w:bCs/>
        </w:rPr>
        <w:t>Proposal 2: If the TAT associated with a TAG ID indicated in RAR/fallbackRAR is not running, the TAT is started.</w:t>
      </w:r>
    </w:p>
    <w:p w14:paraId="7620E95B" w14:textId="6DB93FC1" w:rsidR="001F2CC5" w:rsidRDefault="001F2CC5" w:rsidP="001F2CC5">
      <w:pPr>
        <w:rPr>
          <w:b/>
          <w:bCs/>
        </w:rPr>
      </w:pPr>
      <w:r>
        <w:rPr>
          <w:b/>
          <w:bCs/>
        </w:rPr>
        <w:t>Proposal 3: If the TAT associated with a TAG ID indicated in RAR/fallbackRAR is running, the TAC is ignored (as in legacy).</w:t>
      </w:r>
    </w:p>
    <w:p w14:paraId="69B7B8E6" w14:textId="69E07FC9" w:rsidR="009339CB" w:rsidRPr="006E13D1" w:rsidRDefault="005A13AB" w:rsidP="009339CB">
      <w:pPr>
        <w:pStyle w:val="Heading1"/>
      </w:pPr>
      <w:r>
        <w:t>3</w:t>
      </w:r>
      <w:r w:rsidR="009339CB" w:rsidRPr="006E13D1">
        <w:tab/>
      </w:r>
      <w:r w:rsidR="009339CB">
        <w:t>Conclusion</w:t>
      </w:r>
    </w:p>
    <w:p w14:paraId="2058017B" w14:textId="77777777" w:rsidR="00C15BF9" w:rsidRPr="00654648" w:rsidRDefault="00C15BF9" w:rsidP="00C15BF9">
      <w:pPr>
        <w:rPr>
          <w:b/>
          <w:bCs/>
        </w:rPr>
      </w:pPr>
      <w:r>
        <w:rPr>
          <w:b/>
          <w:bCs/>
        </w:rPr>
        <w:t>Observation 1: CBRA can be triggered by various means while the SpCell is configured with two TAGs and the running statuses of the associated TATs may vary.</w:t>
      </w:r>
    </w:p>
    <w:p w14:paraId="6B3D91AA" w14:textId="77777777" w:rsidR="00C15BF9" w:rsidRDefault="00C15BF9" w:rsidP="00C15BF9">
      <w:pPr>
        <w:rPr>
          <w:b/>
          <w:bCs/>
        </w:rPr>
      </w:pPr>
      <w:r>
        <w:rPr>
          <w:b/>
          <w:bCs/>
        </w:rPr>
        <w:t>Observation 2: F</w:t>
      </w:r>
      <w:r w:rsidRPr="00C15BF9">
        <w:rPr>
          <w:b/>
          <w:bCs/>
        </w:rPr>
        <w:t>or the intra-cell scenario where different SSBs apply to different TRPs</w:t>
      </w:r>
      <w:r>
        <w:rPr>
          <w:b/>
          <w:bCs/>
        </w:rPr>
        <w:t>, the UE needs to be made aware which TAG the TAC in RAR/fallbackRAR applies to</w:t>
      </w:r>
      <w:r w:rsidRPr="00C15BF9">
        <w:rPr>
          <w:b/>
          <w:bCs/>
        </w:rPr>
        <w:t xml:space="preserve"> while </w:t>
      </w:r>
      <w:r>
        <w:rPr>
          <w:b/>
          <w:bCs/>
        </w:rPr>
        <w:t xml:space="preserve">for </w:t>
      </w:r>
      <w:r w:rsidRPr="00C15BF9">
        <w:rPr>
          <w:b/>
          <w:bCs/>
        </w:rPr>
        <w:t xml:space="preserve">the inter-cell scenario </w:t>
      </w:r>
      <w:r>
        <w:rPr>
          <w:b/>
          <w:bCs/>
        </w:rPr>
        <w:t xml:space="preserve">this </w:t>
      </w:r>
      <w:r w:rsidRPr="00C15BF9">
        <w:rPr>
          <w:b/>
          <w:bCs/>
        </w:rPr>
        <w:t xml:space="preserve">is </w:t>
      </w:r>
      <w:r>
        <w:rPr>
          <w:b/>
          <w:bCs/>
        </w:rPr>
        <w:t xml:space="preserve">not needed </w:t>
      </w:r>
      <w:r w:rsidRPr="00C15BF9">
        <w:rPr>
          <w:b/>
          <w:bCs/>
        </w:rPr>
        <w:t>– UE would not perform CBRA towards the other TRP</w:t>
      </w:r>
      <w:r>
        <w:rPr>
          <w:b/>
          <w:bCs/>
        </w:rPr>
        <w:t xml:space="preserve"> in inter-cell scenario.</w:t>
      </w:r>
    </w:p>
    <w:p w14:paraId="340A19A0" w14:textId="77777777" w:rsidR="00C15BF9" w:rsidRDefault="00C15BF9" w:rsidP="00C15BF9">
      <w:pPr>
        <w:rPr>
          <w:b/>
          <w:bCs/>
        </w:rPr>
      </w:pPr>
      <w:r>
        <w:rPr>
          <w:b/>
          <w:bCs/>
        </w:rPr>
        <w:t>Proposal 1: When CBRA is performed, UE needs to be made aware to which TAG the TAC in RAR/fallbackRAR applies to transmit Msg3 (and subsequent UL) appropriately.</w:t>
      </w:r>
    </w:p>
    <w:p w14:paraId="0285D423" w14:textId="77777777" w:rsidR="00C15BF9" w:rsidRDefault="00C15BF9" w:rsidP="00C15BF9">
      <w:pPr>
        <w:rPr>
          <w:b/>
          <w:bCs/>
        </w:rPr>
      </w:pPr>
      <w:r>
        <w:rPr>
          <w:b/>
          <w:bCs/>
        </w:rPr>
        <w:t>Proposal 2: If the TAT associated with a TAG ID indicated in RAR/fallbackRAR is not running, the TAT is started.</w:t>
      </w:r>
    </w:p>
    <w:p w14:paraId="35F222F4" w14:textId="238B7912" w:rsidR="00080512" w:rsidRPr="00C15BF9" w:rsidRDefault="00C15BF9" w:rsidP="00C15BF9">
      <w:pPr>
        <w:rPr>
          <w:b/>
          <w:bCs/>
        </w:rPr>
      </w:pPr>
      <w:r>
        <w:rPr>
          <w:b/>
          <w:bCs/>
        </w:rPr>
        <w:t>Proposal 3: If the TAT associated with a TAG ID indicated in RAR/fallbackRAR is running, the TAC is ignored (as in legacy).</w:t>
      </w:r>
    </w:p>
    <w:sectPr w:rsidR="00080512" w:rsidRPr="00C15BF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6D453" w14:textId="77777777" w:rsidR="00B50516" w:rsidRDefault="00B50516">
      <w:r>
        <w:separator/>
      </w:r>
    </w:p>
  </w:endnote>
  <w:endnote w:type="continuationSeparator" w:id="0">
    <w:p w14:paraId="354B5525" w14:textId="77777777" w:rsidR="00B50516" w:rsidRDefault="00B50516">
      <w:r>
        <w:continuationSeparator/>
      </w:r>
    </w:p>
  </w:endnote>
  <w:endnote w:type="continuationNotice" w:id="1">
    <w:p w14:paraId="08CE3652" w14:textId="77777777" w:rsidR="00B50516" w:rsidRDefault="00B505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9B173" w14:textId="77777777" w:rsidR="00B50516" w:rsidRDefault="00B50516">
      <w:r>
        <w:separator/>
      </w:r>
    </w:p>
  </w:footnote>
  <w:footnote w:type="continuationSeparator" w:id="0">
    <w:p w14:paraId="118CFC1B" w14:textId="77777777" w:rsidR="00B50516" w:rsidRDefault="00B50516">
      <w:r>
        <w:continuationSeparator/>
      </w:r>
    </w:p>
  </w:footnote>
  <w:footnote w:type="continuationNotice" w:id="1">
    <w:p w14:paraId="4DD7C61B" w14:textId="77777777" w:rsidR="00B50516" w:rsidRDefault="00B505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8D412A"/>
    <w:multiLevelType w:val="hybridMultilevel"/>
    <w:tmpl w:val="6396D4B0"/>
    <w:lvl w:ilvl="0" w:tplc="0D6E8D5C">
      <w:start w:val="1"/>
      <w:numFmt w:val="bullet"/>
      <w:lvlText w:val=""/>
      <w:lvlJc w:val="left"/>
      <w:pPr>
        <w:tabs>
          <w:tab w:val="num" w:pos="720"/>
        </w:tabs>
        <w:ind w:left="720" w:hanging="360"/>
      </w:pPr>
      <w:rPr>
        <w:rFonts w:ascii="Symbol" w:hAnsi="Symbol" w:hint="default"/>
      </w:rPr>
    </w:lvl>
    <w:lvl w:ilvl="1" w:tplc="7CD68076">
      <w:start w:val="1"/>
      <w:numFmt w:val="bullet"/>
      <w:lvlText w:val=""/>
      <w:lvlJc w:val="left"/>
      <w:pPr>
        <w:tabs>
          <w:tab w:val="num" w:pos="1440"/>
        </w:tabs>
        <w:ind w:left="1440" w:hanging="360"/>
      </w:pPr>
      <w:rPr>
        <w:rFonts w:ascii="Symbol" w:hAnsi="Symbol" w:hint="default"/>
      </w:rPr>
    </w:lvl>
    <w:lvl w:ilvl="2" w:tplc="C5529050">
      <w:start w:val="1"/>
      <w:numFmt w:val="bullet"/>
      <w:lvlText w:val=""/>
      <w:lvlJc w:val="left"/>
      <w:pPr>
        <w:tabs>
          <w:tab w:val="num" w:pos="2160"/>
        </w:tabs>
        <w:ind w:left="2160" w:hanging="360"/>
      </w:pPr>
      <w:rPr>
        <w:rFonts w:ascii="Symbol" w:hAnsi="Symbol" w:hint="default"/>
      </w:rPr>
    </w:lvl>
    <w:lvl w:ilvl="3" w:tplc="F9C6AA58">
      <w:start w:val="1"/>
      <w:numFmt w:val="bullet"/>
      <w:lvlText w:val=""/>
      <w:lvlJc w:val="left"/>
      <w:pPr>
        <w:tabs>
          <w:tab w:val="num" w:pos="2880"/>
        </w:tabs>
        <w:ind w:left="2880" w:hanging="360"/>
      </w:pPr>
      <w:rPr>
        <w:rFonts w:ascii="Symbol" w:hAnsi="Symbol" w:hint="default"/>
      </w:rPr>
    </w:lvl>
    <w:lvl w:ilvl="4" w:tplc="6F3E1694">
      <w:start w:val="1"/>
      <w:numFmt w:val="bullet"/>
      <w:lvlText w:val=""/>
      <w:lvlJc w:val="left"/>
      <w:pPr>
        <w:tabs>
          <w:tab w:val="num" w:pos="3600"/>
        </w:tabs>
        <w:ind w:left="3600" w:hanging="360"/>
      </w:pPr>
      <w:rPr>
        <w:rFonts w:ascii="Symbol" w:hAnsi="Symbol" w:hint="default"/>
      </w:rPr>
    </w:lvl>
    <w:lvl w:ilvl="5" w:tplc="78107D74">
      <w:start w:val="1"/>
      <w:numFmt w:val="bullet"/>
      <w:lvlText w:val=""/>
      <w:lvlJc w:val="left"/>
      <w:pPr>
        <w:tabs>
          <w:tab w:val="num" w:pos="4320"/>
        </w:tabs>
        <w:ind w:left="4320" w:hanging="360"/>
      </w:pPr>
      <w:rPr>
        <w:rFonts w:ascii="Symbol" w:hAnsi="Symbol" w:hint="default"/>
      </w:rPr>
    </w:lvl>
    <w:lvl w:ilvl="6" w:tplc="59E8AB64">
      <w:start w:val="1"/>
      <w:numFmt w:val="bullet"/>
      <w:lvlText w:val=""/>
      <w:lvlJc w:val="left"/>
      <w:pPr>
        <w:tabs>
          <w:tab w:val="num" w:pos="5040"/>
        </w:tabs>
        <w:ind w:left="5040" w:hanging="360"/>
      </w:pPr>
      <w:rPr>
        <w:rFonts w:ascii="Symbol" w:hAnsi="Symbol" w:hint="default"/>
      </w:rPr>
    </w:lvl>
    <w:lvl w:ilvl="7" w:tplc="88D4D1F2">
      <w:start w:val="1"/>
      <w:numFmt w:val="bullet"/>
      <w:lvlText w:val=""/>
      <w:lvlJc w:val="left"/>
      <w:pPr>
        <w:tabs>
          <w:tab w:val="num" w:pos="5760"/>
        </w:tabs>
        <w:ind w:left="5760" w:hanging="360"/>
      </w:pPr>
      <w:rPr>
        <w:rFonts w:ascii="Symbol" w:hAnsi="Symbol" w:hint="default"/>
      </w:rPr>
    </w:lvl>
    <w:lvl w:ilvl="8" w:tplc="CD92ED0E">
      <w:start w:val="1"/>
      <w:numFmt w:val="bullet"/>
      <w:lvlText w:val=""/>
      <w:lvlJc w:val="left"/>
      <w:pPr>
        <w:tabs>
          <w:tab w:val="num" w:pos="6480"/>
        </w:tabs>
        <w:ind w:left="6480" w:hanging="360"/>
      </w:pPr>
      <w:rPr>
        <w:rFonts w:ascii="Symbol" w:hAnsi="Symbol"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8EF359E"/>
    <w:multiLevelType w:val="hybridMultilevel"/>
    <w:tmpl w:val="5F163EBC"/>
    <w:lvl w:ilvl="0" w:tplc="37C8848E">
      <w:start w:val="1"/>
      <w:numFmt w:val="bullet"/>
      <w:lvlText w:val=""/>
      <w:lvlJc w:val="left"/>
      <w:pPr>
        <w:tabs>
          <w:tab w:val="num" w:pos="720"/>
        </w:tabs>
        <w:ind w:left="720" w:hanging="360"/>
      </w:pPr>
      <w:rPr>
        <w:rFonts w:ascii="Symbol" w:hAnsi="Symbol" w:hint="default"/>
      </w:rPr>
    </w:lvl>
    <w:lvl w:ilvl="1" w:tplc="C6986C9A">
      <w:start w:val="1"/>
      <w:numFmt w:val="bullet"/>
      <w:lvlText w:val=""/>
      <w:lvlJc w:val="left"/>
      <w:pPr>
        <w:tabs>
          <w:tab w:val="num" w:pos="1440"/>
        </w:tabs>
        <w:ind w:left="1440" w:hanging="360"/>
      </w:pPr>
      <w:rPr>
        <w:rFonts w:ascii="Symbol" w:hAnsi="Symbol" w:hint="default"/>
      </w:rPr>
    </w:lvl>
    <w:lvl w:ilvl="2" w:tplc="BCB4BDAE">
      <w:start w:val="1"/>
      <w:numFmt w:val="bullet"/>
      <w:lvlText w:val=""/>
      <w:lvlJc w:val="left"/>
      <w:pPr>
        <w:tabs>
          <w:tab w:val="num" w:pos="2160"/>
        </w:tabs>
        <w:ind w:left="2160" w:hanging="360"/>
      </w:pPr>
      <w:rPr>
        <w:rFonts w:ascii="Symbol" w:hAnsi="Symbol" w:hint="default"/>
      </w:rPr>
    </w:lvl>
    <w:lvl w:ilvl="3" w:tplc="3A18FCE0">
      <w:start w:val="1"/>
      <w:numFmt w:val="bullet"/>
      <w:lvlText w:val=""/>
      <w:lvlJc w:val="left"/>
      <w:pPr>
        <w:tabs>
          <w:tab w:val="num" w:pos="2880"/>
        </w:tabs>
        <w:ind w:left="2880" w:hanging="360"/>
      </w:pPr>
      <w:rPr>
        <w:rFonts w:ascii="Symbol" w:hAnsi="Symbol" w:hint="default"/>
      </w:rPr>
    </w:lvl>
    <w:lvl w:ilvl="4" w:tplc="AC98DDBA">
      <w:start w:val="1"/>
      <w:numFmt w:val="bullet"/>
      <w:lvlText w:val=""/>
      <w:lvlJc w:val="left"/>
      <w:pPr>
        <w:tabs>
          <w:tab w:val="num" w:pos="3600"/>
        </w:tabs>
        <w:ind w:left="3600" w:hanging="360"/>
      </w:pPr>
      <w:rPr>
        <w:rFonts w:ascii="Symbol" w:hAnsi="Symbol" w:hint="default"/>
      </w:rPr>
    </w:lvl>
    <w:lvl w:ilvl="5" w:tplc="C270E266">
      <w:start w:val="1"/>
      <w:numFmt w:val="bullet"/>
      <w:lvlText w:val=""/>
      <w:lvlJc w:val="left"/>
      <w:pPr>
        <w:tabs>
          <w:tab w:val="num" w:pos="4320"/>
        </w:tabs>
        <w:ind w:left="4320" w:hanging="360"/>
      </w:pPr>
      <w:rPr>
        <w:rFonts w:ascii="Symbol" w:hAnsi="Symbol" w:hint="default"/>
      </w:rPr>
    </w:lvl>
    <w:lvl w:ilvl="6" w:tplc="04C07E42">
      <w:start w:val="1"/>
      <w:numFmt w:val="bullet"/>
      <w:lvlText w:val=""/>
      <w:lvlJc w:val="left"/>
      <w:pPr>
        <w:tabs>
          <w:tab w:val="num" w:pos="5040"/>
        </w:tabs>
        <w:ind w:left="5040" w:hanging="360"/>
      </w:pPr>
      <w:rPr>
        <w:rFonts w:ascii="Symbol" w:hAnsi="Symbol" w:hint="default"/>
      </w:rPr>
    </w:lvl>
    <w:lvl w:ilvl="7" w:tplc="06F6680A">
      <w:start w:val="1"/>
      <w:numFmt w:val="bullet"/>
      <w:lvlText w:val=""/>
      <w:lvlJc w:val="left"/>
      <w:pPr>
        <w:tabs>
          <w:tab w:val="num" w:pos="5760"/>
        </w:tabs>
        <w:ind w:left="5760" w:hanging="360"/>
      </w:pPr>
      <w:rPr>
        <w:rFonts w:ascii="Symbol" w:hAnsi="Symbol" w:hint="default"/>
      </w:rPr>
    </w:lvl>
    <w:lvl w:ilvl="8" w:tplc="B200326E">
      <w:start w:val="1"/>
      <w:numFmt w:val="bullet"/>
      <w:lvlText w:val=""/>
      <w:lvlJc w:val="left"/>
      <w:pPr>
        <w:tabs>
          <w:tab w:val="num" w:pos="6480"/>
        </w:tabs>
        <w:ind w:left="6480" w:hanging="360"/>
      </w:pPr>
      <w:rPr>
        <w:rFonts w:ascii="Symbol" w:hAnsi="Symbol"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18250067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536967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34043543">
    <w:abstractNumId w:val="1"/>
  </w:num>
  <w:num w:numId="4" w16cid:durableId="1593125023">
    <w:abstractNumId w:val="4"/>
  </w:num>
  <w:num w:numId="5" w16cid:durableId="125127075">
    <w:abstractNumId w:val="3"/>
  </w:num>
  <w:num w:numId="6" w16cid:durableId="1659993733">
    <w:abstractNumId w:val="6"/>
  </w:num>
  <w:num w:numId="7" w16cid:durableId="305744948">
    <w:abstractNumId w:val="7"/>
  </w:num>
  <w:num w:numId="8" w16cid:durableId="1065952517">
    <w:abstractNumId w:val="5"/>
  </w:num>
  <w:num w:numId="9" w16cid:durableId="836973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43B44"/>
    <w:rsid w:val="00065268"/>
    <w:rsid w:val="00073C9C"/>
    <w:rsid w:val="000749C1"/>
    <w:rsid w:val="00076412"/>
    <w:rsid w:val="00080512"/>
    <w:rsid w:val="00090468"/>
    <w:rsid w:val="00094568"/>
    <w:rsid w:val="000B7BCF"/>
    <w:rsid w:val="000C522B"/>
    <w:rsid w:val="000D45AF"/>
    <w:rsid w:val="000D58AB"/>
    <w:rsid w:val="00112F1A"/>
    <w:rsid w:val="00120950"/>
    <w:rsid w:val="00145075"/>
    <w:rsid w:val="001741A0"/>
    <w:rsid w:val="00175FA0"/>
    <w:rsid w:val="00194CD0"/>
    <w:rsid w:val="001B49C9"/>
    <w:rsid w:val="001C23F4"/>
    <w:rsid w:val="001C4F79"/>
    <w:rsid w:val="001F168B"/>
    <w:rsid w:val="001F2CC5"/>
    <w:rsid w:val="001F7831"/>
    <w:rsid w:val="00204045"/>
    <w:rsid w:val="0020712B"/>
    <w:rsid w:val="0022606D"/>
    <w:rsid w:val="00231728"/>
    <w:rsid w:val="00244A05"/>
    <w:rsid w:val="00250404"/>
    <w:rsid w:val="00256B74"/>
    <w:rsid w:val="002610D8"/>
    <w:rsid w:val="00263274"/>
    <w:rsid w:val="002747EC"/>
    <w:rsid w:val="002855BF"/>
    <w:rsid w:val="002A0C4C"/>
    <w:rsid w:val="002B2988"/>
    <w:rsid w:val="002C599B"/>
    <w:rsid w:val="002F0D22"/>
    <w:rsid w:val="00311B17"/>
    <w:rsid w:val="003172DC"/>
    <w:rsid w:val="00325AE3"/>
    <w:rsid w:val="00326069"/>
    <w:rsid w:val="00340823"/>
    <w:rsid w:val="003523A5"/>
    <w:rsid w:val="0035462D"/>
    <w:rsid w:val="00356F8D"/>
    <w:rsid w:val="0036459E"/>
    <w:rsid w:val="00364B41"/>
    <w:rsid w:val="00383096"/>
    <w:rsid w:val="0039346C"/>
    <w:rsid w:val="003A41EF"/>
    <w:rsid w:val="003B40AD"/>
    <w:rsid w:val="003C4E37"/>
    <w:rsid w:val="003E16BE"/>
    <w:rsid w:val="003F4E28"/>
    <w:rsid w:val="003F7FE4"/>
    <w:rsid w:val="004006E8"/>
    <w:rsid w:val="00401855"/>
    <w:rsid w:val="0041464E"/>
    <w:rsid w:val="00437323"/>
    <w:rsid w:val="004424BB"/>
    <w:rsid w:val="00446C3A"/>
    <w:rsid w:val="00465587"/>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A13AB"/>
    <w:rsid w:val="005A49C6"/>
    <w:rsid w:val="005B3540"/>
    <w:rsid w:val="005B3CAD"/>
    <w:rsid w:val="005C3872"/>
    <w:rsid w:val="005C766E"/>
    <w:rsid w:val="005C7CD5"/>
    <w:rsid w:val="00611566"/>
    <w:rsid w:val="00632DCC"/>
    <w:rsid w:val="00646D99"/>
    <w:rsid w:val="00654648"/>
    <w:rsid w:val="00656910"/>
    <w:rsid w:val="006574C0"/>
    <w:rsid w:val="00696821"/>
    <w:rsid w:val="006B31DE"/>
    <w:rsid w:val="006C66D8"/>
    <w:rsid w:val="006D1E24"/>
    <w:rsid w:val="006D35DE"/>
    <w:rsid w:val="006E1057"/>
    <w:rsid w:val="006E1417"/>
    <w:rsid w:val="006E3E57"/>
    <w:rsid w:val="006F6A2C"/>
    <w:rsid w:val="00704222"/>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2FC9"/>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23655"/>
    <w:rsid w:val="009339CB"/>
    <w:rsid w:val="00936071"/>
    <w:rsid w:val="009376CD"/>
    <w:rsid w:val="00940212"/>
    <w:rsid w:val="00942EC2"/>
    <w:rsid w:val="00961B32"/>
    <w:rsid w:val="00962509"/>
    <w:rsid w:val="00970DB3"/>
    <w:rsid w:val="00974BB0"/>
    <w:rsid w:val="00975BCD"/>
    <w:rsid w:val="00976DC7"/>
    <w:rsid w:val="009818A2"/>
    <w:rsid w:val="009928A9"/>
    <w:rsid w:val="009A0AF3"/>
    <w:rsid w:val="009B07CD"/>
    <w:rsid w:val="009C19E9"/>
    <w:rsid w:val="009D74A6"/>
    <w:rsid w:val="009E0E87"/>
    <w:rsid w:val="00A10F02"/>
    <w:rsid w:val="00A17176"/>
    <w:rsid w:val="00A204CA"/>
    <w:rsid w:val="00A209D6"/>
    <w:rsid w:val="00A22738"/>
    <w:rsid w:val="00A36F5F"/>
    <w:rsid w:val="00A41561"/>
    <w:rsid w:val="00A430EC"/>
    <w:rsid w:val="00A5297A"/>
    <w:rsid w:val="00A53724"/>
    <w:rsid w:val="00A54B2B"/>
    <w:rsid w:val="00A703B6"/>
    <w:rsid w:val="00A82346"/>
    <w:rsid w:val="00A9671C"/>
    <w:rsid w:val="00AA1553"/>
    <w:rsid w:val="00AC598F"/>
    <w:rsid w:val="00AD18A2"/>
    <w:rsid w:val="00B05380"/>
    <w:rsid w:val="00B05962"/>
    <w:rsid w:val="00B15449"/>
    <w:rsid w:val="00B16C2F"/>
    <w:rsid w:val="00B27303"/>
    <w:rsid w:val="00B47FD1"/>
    <w:rsid w:val="00B50516"/>
    <w:rsid w:val="00B516BB"/>
    <w:rsid w:val="00B7538C"/>
    <w:rsid w:val="00B84DB2"/>
    <w:rsid w:val="00BC3555"/>
    <w:rsid w:val="00C12B51"/>
    <w:rsid w:val="00C15BF9"/>
    <w:rsid w:val="00C17D3F"/>
    <w:rsid w:val="00C24650"/>
    <w:rsid w:val="00C25465"/>
    <w:rsid w:val="00C33079"/>
    <w:rsid w:val="00C55A12"/>
    <w:rsid w:val="00C6553E"/>
    <w:rsid w:val="00C80D9F"/>
    <w:rsid w:val="00C83A13"/>
    <w:rsid w:val="00C86F10"/>
    <w:rsid w:val="00C9068C"/>
    <w:rsid w:val="00C92967"/>
    <w:rsid w:val="00CA3D0C"/>
    <w:rsid w:val="00CA654B"/>
    <w:rsid w:val="00CB72B8"/>
    <w:rsid w:val="00CD0BA8"/>
    <w:rsid w:val="00CD4C7B"/>
    <w:rsid w:val="00CD58FE"/>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46C08"/>
    <w:rsid w:val="00E471CF"/>
    <w:rsid w:val="00E62835"/>
    <w:rsid w:val="00E77645"/>
    <w:rsid w:val="00E83697"/>
    <w:rsid w:val="00E859B6"/>
    <w:rsid w:val="00EA66C9"/>
    <w:rsid w:val="00EB47DF"/>
    <w:rsid w:val="00EB5D32"/>
    <w:rsid w:val="00EC4A25"/>
    <w:rsid w:val="00ED7149"/>
    <w:rsid w:val="00EF612C"/>
    <w:rsid w:val="00F025A2"/>
    <w:rsid w:val="00F036E9"/>
    <w:rsid w:val="00F07388"/>
    <w:rsid w:val="00F2026E"/>
    <w:rsid w:val="00F2210A"/>
    <w:rsid w:val="00F26D4A"/>
    <w:rsid w:val="00F31372"/>
    <w:rsid w:val="00F37743"/>
    <w:rsid w:val="00F430DE"/>
    <w:rsid w:val="00F54A3D"/>
    <w:rsid w:val="00F54CB0"/>
    <w:rsid w:val="00F579CD"/>
    <w:rsid w:val="00F653B8"/>
    <w:rsid w:val="00F71B89"/>
    <w:rsid w:val="00F7353C"/>
    <w:rsid w:val="00F76F8F"/>
    <w:rsid w:val="00F85C36"/>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0749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F7FE4"/>
    <w:rPr>
      <w:sz w:val="16"/>
      <w:szCs w:val="16"/>
    </w:rPr>
  </w:style>
  <w:style w:type="paragraph" w:styleId="CommentText">
    <w:name w:val="annotation text"/>
    <w:basedOn w:val="Normal"/>
    <w:link w:val="CommentTextChar"/>
    <w:rsid w:val="003F7FE4"/>
  </w:style>
  <w:style w:type="character" w:customStyle="1" w:styleId="CommentTextChar">
    <w:name w:val="Comment Text Char"/>
    <w:basedOn w:val="DefaultParagraphFont"/>
    <w:link w:val="CommentText"/>
    <w:rsid w:val="003F7FE4"/>
    <w:rPr>
      <w:lang w:eastAsia="en-US"/>
    </w:rPr>
  </w:style>
  <w:style w:type="paragraph" w:styleId="CommentSubject">
    <w:name w:val="annotation subject"/>
    <w:basedOn w:val="CommentText"/>
    <w:next w:val="CommentText"/>
    <w:link w:val="CommentSubjectChar"/>
    <w:rsid w:val="003F7FE4"/>
    <w:rPr>
      <w:b/>
      <w:bCs/>
    </w:rPr>
  </w:style>
  <w:style w:type="character" w:customStyle="1" w:styleId="CommentSubjectChar">
    <w:name w:val="Comment Subject Char"/>
    <w:basedOn w:val="CommentTextChar"/>
    <w:link w:val="CommentSubject"/>
    <w:rsid w:val="003F7FE4"/>
    <w:rPr>
      <w:b/>
      <w:bCs/>
      <w:lang w:eastAsia="en-US"/>
    </w:rPr>
  </w:style>
  <w:style w:type="paragraph" w:styleId="NormalWeb">
    <w:name w:val="Normal (Web)"/>
    <w:basedOn w:val="Normal"/>
    <w:uiPriority w:val="99"/>
    <w:unhideWhenUsed/>
    <w:rsid w:val="00862FC9"/>
    <w:pPr>
      <w:spacing w:before="100" w:beforeAutospacing="1" w:after="100" w:afterAutospacing="1"/>
    </w:pPr>
    <w:rPr>
      <w:rFonts w:ascii="Calibri" w:eastAsiaTheme="minorHAnsi" w:hAnsi="Calibri" w:cs="Calibri"/>
      <w:sz w:val="22"/>
      <w:szCs w:val="22"/>
      <w:lang w:val="fr-FR" w:eastAsia="fr-FR"/>
    </w:rPr>
  </w:style>
  <w:style w:type="paragraph" w:styleId="ListParagraph">
    <w:name w:val="List Paragraph"/>
    <w:basedOn w:val="Normal"/>
    <w:uiPriority w:val="34"/>
    <w:qFormat/>
    <w:rsid w:val="00862FC9"/>
    <w:pPr>
      <w:spacing w:after="0"/>
      <w:ind w:left="720"/>
    </w:pPr>
    <w:rPr>
      <w:rFonts w:ascii="Calibri" w:eastAsiaTheme="minorHAnsi" w:hAnsi="Calibri" w:cs="Calibri"/>
      <w:sz w:val="22"/>
      <w:szCs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135227">
      <w:bodyDiv w:val="1"/>
      <w:marLeft w:val="0"/>
      <w:marRight w:val="0"/>
      <w:marTop w:val="0"/>
      <w:marBottom w:val="0"/>
      <w:divBdr>
        <w:top w:val="none" w:sz="0" w:space="0" w:color="auto"/>
        <w:left w:val="none" w:sz="0" w:space="0" w:color="auto"/>
        <w:bottom w:val="none" w:sz="0" w:space="0" w:color="auto"/>
        <w:right w:val="none" w:sz="0" w:space="0" w:color="auto"/>
      </w:divBdr>
    </w:div>
    <w:div w:id="58531149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3267326">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3gpp.org/ftp/tsg_ran/TSG_RAN/TSGR_98e/Docs/RP-223276.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5AIRPNAIUNRU-859666464-13185</_dlc_DocId>
    <_dlc_DocIdUrl xmlns="71c5aaf6-e6ce-465b-b873-5148d2a4c105">
      <Url>https://nokia.sharepoint.com/sites/c5g/e2earch/_layouts/15/DocIdRedir.aspx?ID=5AIRPNAIUNRU-859666464-13185</Url>
      <Description>5AIRPNAIUNRU-859666464-13185</Description>
    </_dlc_DocIdUrl>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CD2FB13-766B-411C-8A58-A6EEFEBDBBB8}">
  <ds:schemaRefs>
    <ds:schemaRef ds:uri="http://schemas.openxmlformats.org/officeDocument/2006/bibliography"/>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Pages>
  <Words>800</Words>
  <Characters>4070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4861</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6</cp:revision>
  <dcterms:created xsi:type="dcterms:W3CDTF">2023-04-05T10:37:00Z</dcterms:created>
  <dcterms:modified xsi:type="dcterms:W3CDTF">2023-04-06T18:27:00Z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c15b7711-dbe0-4889-a11b-5d6652ad2c40</vt:lpwstr>
  </property>
</Properties>
</file>